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161 x 180 x 218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Potentiomètres</w:t>
      </w:r>
      <w:br/>
      <w:r>
        <w:rPr/>
        <w:t xml:space="preserve">• Variante: blanc</w:t>
      </w:r>
      <w:br/>
      <w:r>
        <w:rPr/>
        <w:t xml:space="preserve">• UC1, Code EAN: 4007841033088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Coloris: blanc</w:t>
      </w:r>
      <w:br/>
      <w:r>
        <w:rPr/>
        <w:t xml:space="preserve">• Support mural d'angle inclus: Non</w:t>
      </w:r>
      <w:br/>
      <w:r>
        <w:rPr/>
        <w:t xml:space="preserve">• Lieu d'installation: mur, angle</w:t>
      </w:r>
      <w:br/>
      <w:r>
        <w:rPr/>
        <w:t xml:space="preserve">• Montage: En saillie, angle,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HCMC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4,00 m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r = 5 m (39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Flux lumineux total du produit: 1550 lm</w:t>
      </w:r>
      <w:br/>
      <w:r>
        <w:rPr/>
        <w:t xml:space="preserve">• Flux lumineux mesure (360°): 1550 lm</w:t>
      </w:r>
      <w:br/>
      <w:r>
        <w:rPr/>
        <w:t xml:space="preserve">• Efficacité totale du produit: 113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Diminution du flux lumineux selon LM80: L70B10</w:t>
      </w:r>
      <w:br/>
      <w:r>
        <w:rPr/>
        <w:t xml:space="preserve">• Système de refroidissement des LED: HCMC (High Conductive Magnesium Composite)</w:t>
      </w:r>
      <w:br/>
      <w:r>
        <w:rPr/>
        <w:t xml:space="preserve">• Allumage en douceur: Non</w:t>
      </w:r>
      <w:br/>
      <w:r>
        <w:rPr/>
        <w:t xml:space="preserve">• Réglage crépusculaire: 2 – 2000 lx</w:t>
      </w:r>
      <w:br/>
      <w:r>
        <w:rPr/>
        <w:t xml:space="preserve">• Temporisation: 8 s – 35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Puissance: 13,7 W</w:t>
      </w:r>
      <w:br/>
      <w:r>
        <w:rPr/>
        <w:t xml:space="preserve">• Indice de rendu des couleurs IRC: = 82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033088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home 2 S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2026-06-20T01:04:42+02:00</dcterms:created>
  <dcterms:modified xsi:type="dcterms:W3CDTF">2026-06-20T01:04:42+02:00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